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26-340</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WORKERS’ COMPENSATION DIVISION[876]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876—Chapter 8</w:t>
      </w:r>
    </w:p>
    <w:p>
      <w:pPr>
        <w:spacing w:before="0" w:after="0" w:line="480"/>
        <w:ind w:left="120"/>
        <w:jc w:val="center"/>
      </w:pPr>
      <w:r>
        <w:rPr>
          <w:rFonts w:ascii="Times New Roman" w:hAnsi="Times New Roman"/>
          <w:b w:val="false"/>
          <w:i w:val="false"/>
          <w:color w:val="000000"/>
          <w:sz w:val="24"/>
        </w:rPr>
        <w:t>“Substantive and Interpretive Rules”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10A.310(1)“a,” 17A, and Executive Order 10</w:t>
      </w:r>
    </w:p>
    <w:p>
      <w:pPr>
        <w:spacing w:before="0" w:after="0" w:line="480"/>
        <w:ind w:left="120"/>
        <w:jc w:val="both"/>
      </w:pPr>
      <w:r>
        <w:rPr>
          <w:rFonts w:ascii="Times New Roman" w:hAnsi="Times New Roman"/>
          <w:b w:val="false"/>
          <w:i w:val="false"/>
          <w:color w:val="000000"/>
          <w:sz w:val="24"/>
        </w:rPr>
        <w:t>State or federal law(s) implemented by the rulemaking: Iowa Code chapters 10A, 85, 85A, and 85B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dial-iowa-gov.zoom.us/j/81654334225?pwd=5JUj7K10vOhVPFGUp2QWlyI2imRXx9.1</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Workers’ Compensation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William Grell</w:t>
            </w:r>
            <w:r>
              <w:br/>
            </w:r>
            <w:r>
              <w:rPr>
                <w:rFonts w:ascii="Times New Roman" w:hAnsi="Times New Roman"/>
                <w:b w:val="false"/>
                <w:i w:val="false"/>
                <w:color w:val="000000"/>
                <w:sz w:val="14"/>
              </w:rPr>
              <w:t>Department of Inspections, Appeals, and Licensing</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515.829.5993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william.grell@dia.iowa.gov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8 explains to parties to the workers’ compensation system specific interpretations of the meanings of certain words and phrases provided in statute. The intended purpose of each proposed rule in Chapter 8 is as follows.</w:t>
      </w:r>
    </w:p>
    <w:p>
      <w:pPr>
        <w:spacing w:before="0" w:after="0" w:line="480"/>
        <w:ind w:left="120"/>
        <w:jc w:val="both"/>
      </w:pPr>
      <w:r>
        <w:rPr>
          <w:rFonts w:ascii="Times New Roman" w:hAnsi="Times New Roman"/>
          <w:b w:val="false"/>
          <w:i w:val="false"/>
          <w:color w:val="000000"/>
          <w:sz w:val="24"/>
        </w:rPr>
        <w:t>    Transportation expenses are paid under Iowa Code sections 85.27 and 85.39. Rule 876—8.1(85) defines what qualifies as a transportation expense, including meals and lodging, and defines what should be paid to an injured worker in the event that the worker requires transportation.</w:t>
      </w:r>
    </w:p>
    <w:p>
      <w:pPr>
        <w:spacing w:before="0" w:after="0" w:line="480"/>
        <w:ind w:left="120"/>
        <w:jc w:val="both"/>
      </w:pPr>
      <w:r>
        <w:rPr>
          <w:rFonts w:ascii="Times New Roman" w:hAnsi="Times New Roman"/>
          <w:b w:val="false"/>
          <w:i w:val="false"/>
          <w:color w:val="000000"/>
          <w:sz w:val="24"/>
        </w:rPr>
        <w:t>    Rule 876—8.2(85) defines what qualifies as overtime pursuant to Iowa Code section 85.61. The rule ensures that parties are made aware of the amounts used to calculate certain wages that are then used to determine appropriate compensation under the workers’ compensation system.</w:t>
      </w:r>
    </w:p>
    <w:p>
      <w:pPr>
        <w:spacing w:before="0" w:after="0" w:line="480"/>
        <w:ind w:left="120"/>
        <w:jc w:val="both"/>
      </w:pPr>
      <w:r>
        <w:rPr>
          <w:rFonts w:ascii="Times New Roman" w:hAnsi="Times New Roman"/>
          <w:b w:val="false"/>
          <w:i w:val="false"/>
          <w:color w:val="000000"/>
          <w:sz w:val="24"/>
        </w:rPr>
        <w:t>    Parties are allowed to pay, and accept, payment in lieu of compensation. Rule 76—8.3(85) defines the applicability of these payments.</w:t>
      </w:r>
    </w:p>
    <w:p>
      <w:pPr>
        <w:spacing w:before="0" w:after="0" w:line="480"/>
        <w:ind w:left="120"/>
        <w:jc w:val="both"/>
      </w:pPr>
      <w:r>
        <w:rPr>
          <w:rFonts w:ascii="Times New Roman" w:hAnsi="Times New Roman"/>
          <w:b w:val="false"/>
          <w:i w:val="false"/>
          <w:color w:val="000000"/>
          <w:sz w:val="24"/>
        </w:rPr>
        <w:t>    Rule 876—8.4(85) defines what the Division considers to be an appliance pursuant to Iowa Code section 85.27 to provide clarity to parties.</w:t>
      </w:r>
    </w:p>
    <w:p>
      <w:pPr>
        <w:spacing w:before="0" w:after="0" w:line="480"/>
        <w:ind w:left="120"/>
        <w:jc w:val="both"/>
      </w:pPr>
      <w:r>
        <w:rPr>
          <w:rFonts w:ascii="Times New Roman" w:hAnsi="Times New Roman"/>
          <w:b w:val="false"/>
          <w:i w:val="false"/>
          <w:color w:val="000000"/>
          <w:sz w:val="24"/>
        </w:rPr>
        <w:t>    Rule 876—8.5(85,85A) provides the decimal equivalent for days of the week in order to provide parties with clarity as to the amount used in calculating fractions of compensation potentially owed to an injured worker.</w:t>
      </w:r>
    </w:p>
    <w:p>
      <w:pPr>
        <w:spacing w:before="0" w:after="0" w:line="480"/>
        <w:ind w:left="120"/>
        <w:jc w:val="both"/>
      </w:pPr>
      <w:r>
        <w:rPr>
          <w:rFonts w:ascii="Times New Roman" w:hAnsi="Times New Roman"/>
          <w:b w:val="false"/>
          <w:i w:val="false"/>
          <w:color w:val="000000"/>
          <w:sz w:val="24"/>
        </w:rPr>
        <w:t>    Rule 876—8.6(10A) indicates what size of paper should be used in filings before the Division to ensure that, in the rare case in which filings are made on paper, the filings come on uniform paper. This allows for more efficient usage of time by the Division and for the documents to be scanned into the electronic file maintained by the Division.</w:t>
      </w:r>
    </w:p>
    <w:p>
      <w:pPr>
        <w:spacing w:before="0" w:after="0" w:line="480"/>
        <w:ind w:left="120"/>
        <w:jc w:val="both"/>
      </w:pPr>
      <w:r>
        <w:rPr>
          <w:rFonts w:ascii="Times New Roman" w:hAnsi="Times New Roman"/>
          <w:b w:val="false"/>
          <w:i w:val="false"/>
          <w:color w:val="000000"/>
          <w:sz w:val="24"/>
        </w:rPr>
        <w:t>    Rule 876—8.7(85,17A) clarifies which payroll tax tables should be used by parties interacting with the workers’ compensation system. This allows the parties to more easily calculate the proper average weekly wage, which then allows parties to more easily calculate the rate of compensation.</w:t>
      </w:r>
    </w:p>
    <w:p>
      <w:pPr>
        <w:spacing w:before="0" w:after="0" w:line="480"/>
        <w:ind w:left="120"/>
        <w:jc w:val="both"/>
      </w:pPr>
      <w:r>
        <w:rPr>
          <w:rFonts w:ascii="Times New Roman" w:hAnsi="Times New Roman"/>
          <w:b w:val="false"/>
          <w:i w:val="false"/>
          <w:color w:val="000000"/>
          <w:sz w:val="24"/>
        </w:rPr>
        <w:t>    Rule 876—8.8(85) directs parties interacting with the workers’ compensation to use a ratebook published annually by the Division to assist them in determining the proper rate of compensation for an injured worker. The ratebook contains the proper compensation rate based on the average weekly wage for an injured worker and provides parties with more certainty as to what should be paid, depending on the amount of the injured worker’s average weekly wage, and how many exemptions to which the worker may be entitled under federal tax law.</w:t>
      </w:r>
    </w:p>
    <w:p>
      <w:pPr>
        <w:spacing w:before="0" w:after="0" w:line="480"/>
        <w:ind w:left="120"/>
        <w:jc w:val="both"/>
      </w:pPr>
      <w:r>
        <w:rPr>
          <w:rFonts w:ascii="Times New Roman" w:hAnsi="Times New Roman"/>
          <w:b w:val="false"/>
          <w:i w:val="false"/>
          <w:color w:val="000000"/>
          <w:sz w:val="24"/>
        </w:rPr>
        <w:t>    Rule 876—8.9(85,10A) requires employers, insurers, and injured workers to exchange certain records upon request and establishes maximum costs that can be charged for the records exchanged. This provides parties with certainty that they will receive records that they request for a reasonable amount, thus not burdening any single party with excessive expenses.</w:t>
      </w:r>
    </w:p>
    <w:p>
      <w:pPr>
        <w:spacing w:before="0" w:after="0" w:line="480"/>
        <w:ind w:left="120"/>
        <w:jc w:val="both"/>
      </w:pPr>
      <w:r>
        <w:rPr>
          <w:rFonts w:ascii="Times New Roman" w:hAnsi="Times New Roman"/>
          <w:b w:val="false"/>
          <w:i w:val="false"/>
          <w:color w:val="000000"/>
          <w:sz w:val="24"/>
        </w:rPr>
        <w:t>    Rule 876—8.10(85B) provides parties to the workers’ compensation system with information on how to properly apportion age-related hearing loss in claims for occupational hearing loss. This provides the parties with clarity and direction on how to properly evaluate a claim for occupational hearing loss while considering normal or age-related hearing loss.</w:t>
      </w:r>
    </w:p>
    <w:p>
      <w:pPr>
        <w:spacing w:before="0" w:after="0" w:line="480"/>
        <w:ind w:left="120"/>
        <w:jc w:val="both"/>
      </w:pPr>
      <w:r>
        <w:rPr>
          <w:rFonts w:ascii="Times New Roman" w:hAnsi="Times New Roman"/>
          <w:b w:val="false"/>
          <w:i w:val="false"/>
          <w:color w:val="000000"/>
          <w:sz w:val="24"/>
        </w:rPr>
        <w:t>    Rule 876—8.11(85) clarifies what constitutes an offer of suitable work. There are certain consequences if an injured worker refuses an offer of suitable work, which the rule further explains. The rule helps the employer to understand what the employer needs to offer in order to return an injured worker to work and helps the injured worker understand what the employer needs to offer the worker so that the worker does not incur the legal consequences of a refusal to accept an offer of suitable work. The rule also provides information to the injured worker as to how the worker must convey a refusal of an offer of suitable work.</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direct costs associated with the proposed repromulgation of this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Injured workers, employers, insurers, and their associated counsel all benefit from understanding the agency’s interpretation of certain terms and having clarity regarding substantive rules. Additionally, the Division benefits by having clear, concise rules for agency employees to follow. The agency will also benefit from agency time saved by changes to language in rule 876—8.8(85,17A) that eliminate the need for the agency to update the rule on an annual basis.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costs to the Division to implement or enforce this chapter involve regular employee salaries and benefits.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proposed changes to the budget, nor is there an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this rulemaking allow for the essential functioning of the Division and of the workers’ compensation system in the State of Iowa. The costs are also necessary to implement Iowa law. Inaction would allow the chapter to expire, resulting in confusion for various stakeholders, and would require agency employees to continue without guidance related to various substantive and interpretive matters.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do not appear to be any less costly or intrusive methods for achieving the purpose of the proposed repromulgation of the chapter. The one substantive change made to this proposed chapter compared to the previous chapter eliminates the need for an annual review and amendment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agency has not identified any viable alternatives to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agency has not identified any viable alternatives to these rules.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 caused by this rulemaking.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876—Chapter 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w:t>
      </w:r>
    </w:p>
    <w:p>
      <w:pPr>
        <w:spacing w:before="0" w:after="0" w:line="480"/>
        <w:ind w:left="120"/>
        <w:jc w:val="center"/>
      </w:pPr>
      <w:r>
        <w:rPr>
          <w:rFonts w:ascii="Times New Roman" w:hAnsi="Times New Roman"/>
          <w:b w:val="false"/>
          <w:i w:val="false"/>
          <w:color w:val="000000"/>
          <w:sz w:val="21"/>
        </w:rPr>
        <w:t>SUBSTANTIVE AND INTERPRETIVE RULES</w:t>
      </w:r>
    </w:p>
    <w:p>
      <w:pPr>
        <w:spacing w:before="0" w:after="0" w:line="480"/>
        <w:ind w:left="120"/>
        <w:jc w:val="both"/>
      </w:pPr>
      <w:r>
        <w:rPr>
          <w:rFonts w:ascii="Times New Roman" w:hAnsi="Times New Roman"/>
          <w:b/>
          <w:i w:val="false"/>
          <w:color w:val="000000"/>
          <w:sz w:val="24"/>
        </w:rPr>
        <w:t>876—8.1</w:t>
      </w:r>
      <w:r>
        <w:rPr>
          <w:rFonts w:ascii="Times New Roman" w:hAnsi="Times New Roman"/>
          <w:b/>
          <w:i w:val="false"/>
          <w:color w:val="000000"/>
          <w:sz w:val="24"/>
        </w:rPr>
        <w:t xml:space="preserve">(85) </w:t>
      </w:r>
      <w:r>
        <w:rPr>
          <w:rFonts w:ascii="Times New Roman" w:hAnsi="Times New Roman"/>
          <w:b/>
          <w:i w:val="false"/>
          <w:color w:val="000000"/>
          <w:sz w:val="24"/>
        </w:rPr>
        <w:t xml:space="preserve">Transportation expense.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expenses as provided in Iowa Code sections </w:t>
      </w:r>
      <w:hyperlink r:id="rId6">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 xml:space="preserve"> shall include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cost of public transportation if tendered by the employer or insurance carrier.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mileage incident to the use of a private automobile. The per-mile rate shall be the rate allowed by the Internal Revenue Service for the business standard mileage rate in effect on July 1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Meals and lodging if reasonably incident to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Taxi fares or other forms of local transportation if incident to the use of public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Ambulance service or other special means of transportation if deemed necessary by competent medical evidence or by agreement of the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expenses in the form of reimbursement for mileage that is incurred in the course of treatment or an examination, except under Iowa Code section </w:t>
      </w:r>
      <w:hyperlink r:id="rId8">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 xml:space="preserve">, shall be payable at such time as 50 miles or more have accumulated or upon completion of medical care, whichever occurs first. Reimbursement for mileage incurred under Iowa Code section </w:t>
      </w:r>
      <w:hyperlink r:id="rId9">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 xml:space="preserve"> shall be paid within a reasonable time after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w:t>
      </w:r>
      <w:r>
        <w:rPr>
          <w:rFonts w:ascii="Times New Roman" w:hAnsi="Times New Roman"/>
          <w:b w:val="false"/>
          <w:i w:val="false"/>
          <w:color w:val="000000"/>
          <w:sz w:val="24"/>
        </w:rPr>
        <w:t> </w:t>
      </w:r>
      <w:r>
        <w:rPr>
          <w:rFonts w:ascii="Times New Roman" w:hAnsi="Times New Roman"/>
          <w:b w:val="false"/>
          <w:i w:val="false"/>
          <w:color w:val="000000"/>
          <w:sz w:val="24"/>
        </w:rPr>
        <w:t>The workers’ compensation commissioner or a deputy workers’ compensation commissioner may order transportation expenses to be paid in advance of an examination or treatment. The parties may agree to the advance payment of transportation expenses.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876—8.2</w:t>
      </w:r>
      <w:r>
        <w:rPr>
          <w:rFonts w:ascii="Times New Roman" w:hAnsi="Times New Roman"/>
          <w:b/>
          <w:i w:val="false"/>
          <w:color w:val="000000"/>
          <w:sz w:val="24"/>
        </w:rPr>
        <w:t xml:space="preserve">(85) </w:t>
      </w:r>
      <w:r>
        <w:rPr>
          <w:rFonts w:ascii="Times New Roman" w:hAnsi="Times New Roman"/>
          <w:b/>
          <w:i w:val="false"/>
          <w:color w:val="000000"/>
          <w:sz w:val="24"/>
        </w:rPr>
        <w:t xml:space="preserve">Overtime. </w:t>
      </w:r>
      <w:r>
        <w:rPr>
          <w:rFonts w:ascii="Times New Roman" w:hAnsi="Times New Roman"/>
          <w:b w:val="false"/>
          <w:i w:val="false"/>
          <w:color w:val="000000"/>
          <w:sz w:val="24"/>
        </w:rPr>
        <w:t xml:space="preserve">The word “overtime” as used in Iowa Code section </w:t>
      </w:r>
      <w:hyperlink r:id="rId12">
        <w:r>
          <w:rPr>
            <w:rStyle w:val="Hyperlink"/>
            <w:rFonts w:ascii="Times New Roman" w:hAnsi="Times New Roman"/>
            <w:b w:val="false"/>
            <w:i w:val="false"/>
            <w:color w:val="000000"/>
            <w:sz w:val="24"/>
          </w:rPr>
          <w:t>85.61</w:t>
        </w:r>
      </w:hyperlink>
      <w:r>
        <w:rPr>
          <w:rFonts w:ascii="Times New Roman" w:hAnsi="Times New Roman"/>
          <w:b w:val="false"/>
          <w:i w:val="false"/>
          <w:color w:val="000000"/>
          <w:sz w:val="24"/>
        </w:rPr>
        <w:t xml:space="preserve"> means amounts due in excess of the straight time rate for overtime hours worked. Such excess amounts shall not be considered in determining gross weekly wages within Iowa Code section </w:t>
      </w:r>
      <w:hyperlink r:id="rId13">
        <w:r>
          <w:rPr>
            <w:rStyle w:val="Hyperlink"/>
            <w:rFonts w:ascii="Times New Roman" w:hAnsi="Times New Roman"/>
            <w:b w:val="false"/>
            <w:i w:val="false"/>
            <w:color w:val="000000"/>
            <w:sz w:val="24"/>
          </w:rPr>
          <w:t>85.36</w:t>
        </w:r>
      </w:hyperlink>
      <w:r>
        <w:rPr>
          <w:rFonts w:ascii="Times New Roman" w:hAnsi="Times New Roman"/>
          <w:b w:val="false"/>
          <w:i w:val="false"/>
          <w:color w:val="000000"/>
          <w:sz w:val="24"/>
        </w:rPr>
        <w:t>. Overtime hours at the straight time rate are included in determining gross weekly earnings.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85.36</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85.61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876—8.3</w:t>
      </w:r>
      <w:r>
        <w:rPr>
          <w:rFonts w:ascii="Times New Roman" w:hAnsi="Times New Roman"/>
          <w:b/>
          <w:i w:val="false"/>
          <w:color w:val="000000"/>
          <w:sz w:val="24"/>
        </w:rPr>
        <w:t xml:space="preserve">(85) </w:t>
      </w:r>
      <w:r>
        <w:rPr>
          <w:rFonts w:ascii="Times New Roman" w:hAnsi="Times New Roman"/>
          <w:b/>
          <w:i w:val="false"/>
          <w:color w:val="000000"/>
          <w:sz w:val="24"/>
        </w:rPr>
        <w:t xml:space="preserve">Salary in lieu of compensation. </w:t>
      </w:r>
      <w:r>
        <w:rPr>
          <w:rFonts w:ascii="Times New Roman" w:hAnsi="Times New Roman"/>
          <w:b w:val="false"/>
          <w:i w:val="false"/>
          <w:color w:val="000000"/>
          <w:sz w:val="24"/>
        </w:rPr>
        <w:t>The excess payment made by an employer in lieu of compensation that exceeds the applicable weekly compensation rate shall not be construed as advance payment with respect to either future temporary disability, healing period, permanent partial disability, permanent total disability or death.</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85.31</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85.34</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85.36</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85.37</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85.61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876—8.4</w:t>
      </w:r>
      <w:r>
        <w:rPr>
          <w:rFonts w:ascii="Times New Roman" w:hAnsi="Times New Roman"/>
          <w:b/>
          <w:i w:val="false"/>
          <w:color w:val="000000"/>
          <w:sz w:val="24"/>
        </w:rPr>
        <w:t xml:space="preserve">(85) </w:t>
      </w:r>
      <w:r>
        <w:rPr>
          <w:rFonts w:ascii="Times New Roman" w:hAnsi="Times New Roman"/>
          <w:b/>
          <w:i w:val="false"/>
          <w:color w:val="000000"/>
          <w:sz w:val="24"/>
        </w:rPr>
        <w:t xml:space="preserve">Appliances.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8.4(1)</w:t>
      </w:r>
      <w:r>
        <w:rPr>
          <w:rFonts w:ascii="Times New Roman" w:hAnsi="Times New Roman"/>
          <w:b w:val="false"/>
          <w:i w:val="false"/>
          <w:color w:val="000000"/>
          <w:sz w:val="24"/>
        </w:rPr>
        <w:t> </w:t>
      </w:r>
      <w:r>
        <w:rPr>
          <w:rFonts w:ascii="Times New Roman" w:hAnsi="Times New Roman"/>
          <w:b w:val="false"/>
          <w:i w:val="false"/>
          <w:color w:val="000000"/>
          <w:sz w:val="24"/>
        </w:rPr>
        <w:t>Appliances are defined as hearing aids, corrective lenses, orthodontic devices, dentures, orthopedic braces, or any other artificial device used to provide function or for therapeutic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8.4(2)</w:t>
      </w:r>
      <w:r>
        <w:rPr>
          <w:rFonts w:ascii="Times New Roman" w:hAnsi="Times New Roman"/>
          <w:b w:val="false"/>
          <w:i w:val="false"/>
          <w:color w:val="000000"/>
          <w:sz w:val="24"/>
        </w:rPr>
        <w:t> </w:t>
      </w:r>
      <w:r>
        <w:rPr>
          <w:rFonts w:ascii="Times New Roman" w:hAnsi="Times New Roman"/>
          <w:b w:val="false"/>
          <w:i w:val="false"/>
          <w:color w:val="000000"/>
          <w:sz w:val="24"/>
        </w:rPr>
        <w:t xml:space="preserve">Appliances that are for the correction of a condition resulting from an injury or appliances that are damaged or made unusable as a result of an injury or avoidance of an injury are compensable under Iowa Code section </w:t>
      </w:r>
      <w:hyperlink r:id="rId21">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2">
        <w:r>
          <w:rPr>
            <w:rStyle w:val="Hyperlink"/>
            <w:rFonts w:ascii="Times New Roman" w:hAnsi="Times New Roman"/>
            <w:b w:val="false"/>
            <w:i w:val="false"/>
            <w:color w:val="000000"/>
            <w:sz w:val="24"/>
          </w:rPr>
          <w:t>85.27(1)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876—8.5</w:t>
      </w:r>
      <w:r>
        <w:rPr>
          <w:rFonts w:ascii="Times New Roman" w:hAnsi="Times New Roman"/>
          <w:b/>
          <w:i w:val="false"/>
          <w:color w:val="000000"/>
          <w:sz w:val="24"/>
        </w:rPr>
        <w:t xml:space="preserve">(85,85A) </w:t>
      </w:r>
      <w:r>
        <w:rPr>
          <w:rFonts w:ascii="Times New Roman" w:hAnsi="Times New Roman"/>
          <w:b/>
          <w:i w:val="false"/>
          <w:color w:val="000000"/>
          <w:sz w:val="24"/>
        </w:rPr>
        <w:t xml:space="preserve">Calendar days—decimal equivalent. </w:t>
      </w:r>
      <w:r>
        <w:rPr>
          <w:rFonts w:ascii="Times New Roman" w:hAnsi="Times New Roman"/>
          <w:b w:val="false"/>
          <w:i w:val="false"/>
          <w:color w:val="000000"/>
          <w:sz w:val="24"/>
        </w:rPr>
        <w:t xml:space="preserve">Weekly compensation benefits payable under Iowa Code chapters </w:t>
      </w:r>
      <w:hyperlink r:id="rId23">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85A</w:t>
        </w:r>
      </w:hyperlink>
      <w:r>
        <w:rPr>
          <w:rFonts w:ascii="Times New Roman" w:hAnsi="Times New Roman"/>
          <w:b w:val="false"/>
          <w:i w:val="false"/>
          <w:color w:val="000000"/>
          <w:sz w:val="24"/>
        </w:rPr>
        <w:t xml:space="preserve"> are based upon a seven-day calendar week. Each day of weekly compensation benefits due may be paid by multiplying the employee’s weekly compensation benefit rate by the decimal equivalents of the number of days as follows:</w:t>
      </w:r>
    </w:p>
    <w:tbl>
      <w:tblPr>
        <w:tblW w:w="0" w:type="auto"/>
        <w:tblCellSpacing w:w="0" w:type="auto"/>
        <w:tblBorders>
          <w:top w:val="none"/>
          <w:left w:val="none"/>
          <w:bottom w:val="none"/>
          <w:right w:val="none"/>
          <w:insideH w:val="none"/>
          <w:insideV w:val="none"/>
        </w:tblBorders>
        <w:tblLayout w:type="fixed"/>
      </w:tblPr>
      <w:tblGrid>
        <w:gridCol w:w="2512"/>
        <w:gridCol w:w="1838"/>
        <w:gridCol w:w="2155"/>
        <w:gridCol w:w="1837"/>
        <w:gridCol w:w="2922"/>
      </w:tblGrid>
      <w:tr>
        <w:trPr>
          <w:trHeight w:val="180" w:hRule="atLeast"/>
        </w:trPr>
        <w:tc>
          <w:tcPr>
            <w:tcW w:w="25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day</w:t>
            </w:r>
          </w:p>
        </w:tc>
        <w:tc>
          <w:tcPr>
            <w:tcW w:w="183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.143</w:t>
            </w:r>
          </w:p>
        </w:tc>
        <w:tc>
          <w:tcPr>
            <w:tcW w:w="18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92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weekly rate</w:t>
            </w:r>
          </w:p>
        </w:tc>
      </w:tr>
      <w:tr>
        <w:trPr>
          <w:trHeight w:val="180" w:hRule="atLeast"/>
        </w:trPr>
        <w:tc>
          <w:tcPr>
            <w:tcW w:w="25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days</w:t>
            </w:r>
          </w:p>
        </w:tc>
        <w:tc>
          <w:tcPr>
            <w:tcW w:w="183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.286</w:t>
            </w:r>
          </w:p>
        </w:tc>
        <w:tc>
          <w:tcPr>
            <w:tcW w:w="18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92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weekly rate</w:t>
            </w:r>
          </w:p>
        </w:tc>
      </w:tr>
      <w:tr>
        <w:trPr>
          <w:trHeight w:val="180" w:hRule="atLeast"/>
        </w:trPr>
        <w:tc>
          <w:tcPr>
            <w:tcW w:w="25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days</w:t>
            </w:r>
          </w:p>
        </w:tc>
        <w:tc>
          <w:tcPr>
            <w:tcW w:w="183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.429</w:t>
            </w:r>
          </w:p>
        </w:tc>
        <w:tc>
          <w:tcPr>
            <w:tcW w:w="18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92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weekly rate</w:t>
            </w:r>
          </w:p>
        </w:tc>
      </w:tr>
      <w:tr>
        <w:trPr>
          <w:trHeight w:val="180" w:hRule="atLeast"/>
        </w:trPr>
        <w:tc>
          <w:tcPr>
            <w:tcW w:w="25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days</w:t>
            </w:r>
          </w:p>
        </w:tc>
        <w:tc>
          <w:tcPr>
            <w:tcW w:w="183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.571</w:t>
            </w:r>
          </w:p>
        </w:tc>
        <w:tc>
          <w:tcPr>
            <w:tcW w:w="18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92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weekly rate</w:t>
            </w:r>
          </w:p>
        </w:tc>
      </w:tr>
      <w:tr>
        <w:trPr>
          <w:trHeight w:val="180" w:hRule="atLeast"/>
        </w:trPr>
        <w:tc>
          <w:tcPr>
            <w:tcW w:w="25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days</w:t>
            </w:r>
          </w:p>
        </w:tc>
        <w:tc>
          <w:tcPr>
            <w:tcW w:w="183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.714</w:t>
            </w:r>
          </w:p>
        </w:tc>
        <w:tc>
          <w:tcPr>
            <w:tcW w:w="18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92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weekly rate</w:t>
            </w:r>
          </w:p>
        </w:tc>
      </w:tr>
      <w:tr>
        <w:trPr>
          <w:trHeight w:val="180" w:hRule="atLeast"/>
        </w:trPr>
        <w:tc>
          <w:tcPr>
            <w:tcW w:w="25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 days</w:t>
            </w:r>
          </w:p>
        </w:tc>
        <w:tc>
          <w:tcPr>
            <w:tcW w:w="183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1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.857</w:t>
            </w:r>
          </w:p>
        </w:tc>
        <w:tc>
          <w:tcPr>
            <w:tcW w:w="183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92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weekly rate</w:t>
            </w:r>
          </w:p>
        </w:tc>
      </w:tr>
    </w:tbl>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
        <w:r>
          <w:rPr>
            <w:rStyle w:val="Hyperlink"/>
            <w:rFonts w:ascii="Times New Roman" w:hAnsi="Times New Roman"/>
            <w:b w:val="false"/>
            <w:i w:val="false"/>
            <w:color w:val="000000"/>
            <w:sz w:val="24"/>
          </w:rPr>
          <w:t>85.31</w:t>
        </w:r>
      </w:hyperlink>
      <w:r>
        <w:rPr>
          <w:rFonts w:ascii="Times New Roman" w:hAnsi="Times New Roman"/>
          <w:b w:val="false"/>
          <w:i w:val="false"/>
          <w:color w:val="000000"/>
          <w:sz w:val="24"/>
        </w:rPr>
        <w:t xml:space="preserve">, </w:t>
      </w:r>
      <w:hyperlink r:id="rId26">
        <w:r>
          <w:rPr>
            <w:rStyle w:val="Hyperlink"/>
            <w:rFonts w:ascii="Times New Roman" w:hAnsi="Times New Roman"/>
            <w:b w:val="false"/>
            <w:i w:val="false"/>
            <w:color w:val="000000"/>
            <w:sz w:val="24"/>
          </w:rPr>
          <w:t>85.33</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85.34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876—8.6</w:t>
      </w:r>
      <w:r>
        <w:rPr>
          <w:rFonts w:ascii="Times New Roman" w:hAnsi="Times New Roman"/>
          <w:b/>
          <w:i w:val="false"/>
          <w:color w:val="000000"/>
          <w:sz w:val="24"/>
        </w:rPr>
        <w:t xml:space="preserve">(10A) </w:t>
      </w:r>
      <w:r>
        <w:rPr>
          <w:rFonts w:ascii="Times New Roman" w:hAnsi="Times New Roman"/>
          <w:b/>
          <w:i w:val="false"/>
          <w:color w:val="000000"/>
          <w:sz w:val="24"/>
        </w:rPr>
        <w:t xml:space="preserve">Short paper. </w:t>
      </w:r>
      <w:r>
        <w:rPr>
          <w:rFonts w:ascii="Times New Roman" w:hAnsi="Times New Roman"/>
          <w:b w:val="false"/>
          <w:i w:val="false"/>
          <w:color w:val="000000"/>
          <w:sz w:val="24"/>
        </w:rPr>
        <w:t>All paper filings before the workers’ compensation commissioner shall be on white paper measuring 8½ inches by 11 inches.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8">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876—8.7</w:t>
      </w:r>
      <w:r>
        <w:rPr>
          <w:rFonts w:ascii="Times New Roman" w:hAnsi="Times New Roman"/>
          <w:b/>
          <w:i w:val="false"/>
          <w:color w:val="000000"/>
          <w:sz w:val="24"/>
        </w:rPr>
        <w:t xml:space="preserve">(85,17A) </w:t>
      </w:r>
      <w:r>
        <w:rPr>
          <w:rFonts w:ascii="Times New Roman" w:hAnsi="Times New Roman"/>
          <w:b/>
          <w:i w:val="false"/>
          <w:color w:val="000000"/>
          <w:sz w:val="24"/>
        </w:rPr>
        <w:t xml:space="preserve">Payroll tax tables. </w:t>
      </w:r>
      <w:r>
        <w:rPr>
          <w:rFonts w:ascii="Times New Roman" w:hAnsi="Times New Roman"/>
          <w:b w:val="false"/>
          <w:i w:val="false"/>
          <w:color w:val="000000"/>
          <w:sz w:val="24"/>
        </w:rPr>
        <w:t>Tables for determining payroll taxes to be used for each year are the tables in effect on July 1 of that year through June 30 of the next year, for computation of:</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Federal income tax withholding according to the percentage method of withholding for weekly payroll period. (Federal Income Tax Withholding Methods, Publication 15-T [2021].)</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Iowa individual income tax withholding formula. (Iowa Department of Revenue [Effective January 1, 2022].)</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Social Security and Medicare withholding (FICA) at the rate of 7.65 percent. (Internal Revenue Service, Circular E, Employer’s Tax Guide, Publication 15 [2021].)</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9">
        <w:r>
          <w:rPr>
            <w:rStyle w:val="Hyperlink"/>
            <w:rFonts w:ascii="Times New Roman" w:hAnsi="Times New Roman"/>
            <w:b w:val="false"/>
            <w:i w:val="false"/>
            <w:color w:val="000000"/>
            <w:sz w:val="24"/>
          </w:rPr>
          <w:t>85.61(6)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876—8.8</w:t>
      </w:r>
      <w:r>
        <w:rPr>
          <w:rFonts w:ascii="Times New Roman" w:hAnsi="Times New Roman"/>
          <w:b/>
          <w:i w:val="false"/>
          <w:color w:val="000000"/>
          <w:sz w:val="24"/>
        </w:rPr>
        <w:t xml:space="preserve">(85) </w:t>
      </w:r>
      <w:r>
        <w:rPr>
          <w:rFonts w:ascii="Times New Roman" w:hAnsi="Times New Roman"/>
          <w:b/>
          <w:i w:val="false"/>
          <w:color w:val="000000"/>
          <w:sz w:val="24"/>
        </w:rPr>
        <w:t xml:space="preserve">Rate determination. </w:t>
      </w:r>
      <w:r>
        <w:rPr>
          <w:rFonts w:ascii="Times New Roman" w:hAnsi="Times New Roman"/>
          <w:b w:val="false"/>
          <w:i w:val="false"/>
          <w:color w:val="000000"/>
          <w:sz w:val="24"/>
        </w:rPr>
        <w:t xml:space="preserve">When determining the rate of weekly compensation benefits for a contested case proceeding, the parties to the case shall use the ratebook in effect on the date of the claimant’s injury published by the workers’ compensation division at </w:t>
      </w:r>
      <w:hyperlink r:id="rId30">
        <w:r>
          <w:rPr>
            <w:rStyle w:val="Hyperlink"/>
            <w:rFonts w:ascii="Times New Roman" w:hAnsi="Times New Roman"/>
            <w:b w:val="false"/>
            <w:i w:val="false"/>
            <w:color w:val="000000"/>
            <w:sz w:val="24"/>
            <w:u w:val="single"/>
          </w:rPr>
          <w:t>dial.iowa.gov/hearings/workers-comp/rates</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31">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876—8.9</w:t>
      </w:r>
      <w:r>
        <w:rPr>
          <w:rFonts w:ascii="Times New Roman" w:hAnsi="Times New Roman"/>
          <w:b/>
          <w:i w:val="false"/>
          <w:color w:val="000000"/>
          <w:sz w:val="24"/>
        </w:rPr>
        <w:t xml:space="preserve">(85,10A) </w:t>
      </w:r>
      <w:r>
        <w:rPr>
          <w:rFonts w:ascii="Times New Roman" w:hAnsi="Times New Roman"/>
          <w:b/>
          <w:i w:val="false"/>
          <w:color w:val="000000"/>
          <w:sz w:val="24"/>
        </w:rPr>
        <w:t xml:space="preserve">Exchange of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w:t>
      </w:r>
      <w:r>
        <w:rPr>
          <w:rFonts w:ascii="Times New Roman" w:hAnsi="Times New Roman"/>
          <w:b w:val="false"/>
          <w:i w:val="false"/>
          <w:color w:val="000000"/>
          <w:sz w:val="24"/>
        </w:rPr>
        <w:t> </w:t>
      </w:r>
      <w:r>
        <w:rPr>
          <w:rFonts w:ascii="Times New Roman" w:hAnsi="Times New Roman"/>
          <w:b w:val="false"/>
          <w:i w:val="false"/>
          <w:color w:val="000000"/>
          <w:sz w:val="24"/>
        </w:rPr>
        <w:t>Whether or not a contested case has been commenced, upon the written request of an employee or the representative of an employee who has alleged an injury arising out of and in the course of employment, an employer or insurance carrier shall provide the claimant a copy of all records and reports in its possession generated by a medical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or not a contested case has been commenced, upon the written request of the employer or insurance carrier against which an employee has alleged an injury arising out of and in the course of employment, the employee shall provide the employer or insurance carrier with a patient’s waiver. The waiver form used in contested cases can be found in rules </w:t>
      </w:r>
      <w:hyperlink r:id="rId32">
        <w:r>
          <w:rPr>
            <w:rStyle w:val="Hyperlink"/>
            <w:rFonts w:ascii="Times New Roman" w:hAnsi="Times New Roman"/>
            <w:b w:val="false"/>
            <w:i w:val="false"/>
            <w:color w:val="000000"/>
            <w:sz w:val="24"/>
          </w:rPr>
          <w:t>876—3.1</w:t>
        </w:r>
      </w:hyperlink>
      <w:r>
        <w:rPr>
          <w:rFonts w:ascii="Times New Roman" w:hAnsi="Times New Roman"/>
          <w:b w:val="false"/>
          <w:i w:val="false"/>
          <w:color w:val="000000"/>
          <w:sz w:val="24"/>
        </w:rPr>
        <w:t xml:space="preserve">(17A) and </w:t>
      </w:r>
      <w:hyperlink r:id="rId33">
        <w:r>
          <w:rPr>
            <w:rStyle w:val="Hyperlink"/>
            <w:rFonts w:ascii="Times New Roman" w:hAnsi="Times New Roman"/>
            <w:b w:val="false"/>
            <w:i w:val="false"/>
            <w:color w:val="000000"/>
            <w:sz w:val="24"/>
          </w:rPr>
          <w:t>876—2506.36</w:t>
        </w:r>
      </w:hyperlink>
      <w:r>
        <w:rPr>
          <w:rFonts w:ascii="Times New Roman" w:hAnsi="Times New Roman"/>
          <w:b w:val="false"/>
          <w:i w:val="false"/>
          <w:color w:val="000000"/>
          <w:sz w:val="24"/>
        </w:rPr>
        <w:t>(10A,17A,85). The claimant shall cooperate with the employer and insurance carrier to provide patients’ waivers in other forms and to update patients’ waivers where requested by a medical practitioner or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w:t>
      </w:r>
      <w:r>
        <w:rPr>
          <w:rFonts w:ascii="Times New Roman" w:hAnsi="Times New Roman"/>
          <w:b w:val="false"/>
          <w:i w:val="false"/>
          <w:color w:val="000000"/>
          <w:sz w:val="24"/>
        </w:rPr>
        <w:t> </w:t>
      </w:r>
      <w:r>
        <w:rPr>
          <w:rFonts w:ascii="Times New Roman" w:hAnsi="Times New Roman"/>
          <w:b w:val="false"/>
          <w:i w:val="false"/>
          <w:color w:val="000000"/>
          <w:sz w:val="24"/>
        </w:rPr>
        <w:t>A medical provider or its agent shall furnish an employer or insurance carrier copies of the initial as well as final clinical assessment without cost when the assessments are requested as supporting documentation to determine liability or for payment of a medical provider’s bill for medical services. When requested, a medical provider or its agent shall furnish a legible duplicate of additional records or reports. Except as otherwise provided in this rule, the amount to be paid for furnishing duplicates of records or reports shall be the actual expense to prepare duplicates not to exceed $20 for 1 to 20 pages; $20 plus $1 per page for 21 to 30 pages; $30 plus $.50 per page for 31 to 100 pages; $65 plus $.25 per page for 101 to 200 pages; $90 plus $.10 per page for more than 200 pages, and the actual expense of postage. No other expenses shall be allowed.</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1. For seven pages of records, the amount to be paid for furnishing duplicates shall not exceed $20.</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2. For 28 pages of records, the amount to be paid for furnishing duplicates shall not exceed $28 ($20 plus (8 times $1)).</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3. For 41 pages of records, the amount to be paid for furnishing duplicates shall not exceed $35.50 ($30 plus (11 times $.50)).</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4. For 127 pages of records, the amount to be paid for furnishing duplicates shall not exceed $71.75 ($65 plus (27 times $.25)).</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5. For 210 pages of records, the amount to be paid for furnishing duplicates shall not exceed $91 ($90 plus (10 times $.10)).</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4">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10A.312</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10A.327</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85.31</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85.33</w:t>
        </w:r>
      </w:hyperlink>
      <w:r>
        <w:rPr>
          <w:rFonts w:ascii="Times New Roman" w:hAnsi="Times New Roman"/>
          <w:b w:val="false"/>
          <w:i w:val="false"/>
          <w:color w:val="000000"/>
          <w:sz w:val="24"/>
        </w:rPr>
        <w:t xml:space="preserve"> through </w:t>
      </w:r>
      <w:hyperlink r:id="rId41">
        <w:r>
          <w:rPr>
            <w:rStyle w:val="Hyperlink"/>
            <w:rFonts w:ascii="Times New Roman" w:hAnsi="Times New Roman"/>
            <w:b w:val="false"/>
            <w:i w:val="false"/>
            <w:color w:val="000000"/>
            <w:sz w:val="24"/>
          </w:rPr>
          <w:t>85.37</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85.61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876—8.10</w:t>
      </w:r>
      <w:r>
        <w:rPr>
          <w:rFonts w:ascii="Times New Roman" w:hAnsi="Times New Roman"/>
          <w:b/>
          <w:i w:val="false"/>
          <w:color w:val="000000"/>
          <w:sz w:val="24"/>
        </w:rPr>
        <w:t xml:space="preserve">(85B) </w:t>
      </w:r>
      <w:r>
        <w:rPr>
          <w:rFonts w:ascii="Times New Roman" w:hAnsi="Times New Roman"/>
          <w:b/>
          <w:i w:val="false"/>
          <w:color w:val="000000"/>
          <w:sz w:val="24"/>
        </w:rPr>
        <w:t xml:space="preserve">Apportionment of age-related loss for occupational hearing loss claims.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8.10(1)</w:t>
      </w:r>
      <w:r>
        <w:rPr>
          <w:rFonts w:ascii="Times New Roman" w:hAnsi="Times New Roman"/>
          <w:b w:val="false"/>
          <w:i w:val="false"/>
          <w:color w:val="000000"/>
          <w:sz w:val="24"/>
        </w:rPr>
        <w:t> </w:t>
      </w:r>
      <w:r>
        <w:rPr>
          <w:rFonts w:ascii="Times New Roman" w:hAnsi="Times New Roman"/>
          <w:b w:val="false"/>
          <w:i/>
          <w:color w:val="000000"/>
          <w:sz w:val="24"/>
        </w:rPr>
        <w:t xml:space="preserve">Effective date. </w:t>
      </w:r>
      <w:r>
        <w:rPr>
          <w:rFonts w:ascii="Times New Roman" w:hAnsi="Times New Roman"/>
          <w:b w:val="false"/>
          <w:i w:val="false"/>
          <w:color w:val="000000"/>
          <w:sz w:val="24"/>
        </w:rPr>
        <w:t>This rule is effective for claims for occupational hearing loss filed on or after July 1, 1998.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8.10(2)</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purposes of this rule are to adopt tables and the method for calculating age-related hearing loss and to adopt a worksheet for apportionment of age-related hearing loss for occupational hearing loss claims.</w:t>
      </w:r>
    </w:p>
    <w:p>
      <w:pPr>
        <w:spacing w:before="0" w:after="0" w:line="480"/>
        <w:ind w:left="120"/>
        <w:jc w:val="both"/>
      </w:pPr>
      <w:r>
        <w:rPr>
          <w:rFonts w:ascii="Times New Roman" w:hAnsi="Times New Roman"/>
          <w:b/>
          <w:i w:val="false"/>
          <w:color w:val="000000"/>
          <w:sz w:val="24"/>
        </w:rPr>
        <w:t>8.10(3)</w:t>
      </w:r>
      <w:r>
        <w:rPr>
          <w:rFonts w:ascii="Times New Roman" w:hAnsi="Times New Roman"/>
          <w:b w:val="false"/>
          <w:i w:val="false"/>
          <w:color w:val="000000"/>
          <w:sz w:val="24"/>
        </w:rPr>
        <w:t> </w:t>
      </w:r>
      <w:r>
        <w:rPr>
          <w:rFonts w:ascii="Times New Roman" w:hAnsi="Times New Roman"/>
          <w:b w:val="false"/>
          <w:i/>
          <w:color w:val="000000"/>
          <w:sz w:val="24"/>
        </w:rPr>
        <w:t xml:space="preserve">Table. </w:t>
      </w:r>
      <w:r>
        <w:rPr>
          <w:rFonts w:ascii="Times New Roman" w:hAnsi="Times New Roman"/>
          <w:b w:val="false"/>
          <w:i w:val="false"/>
          <w:color w:val="000000"/>
          <w:sz w:val="24"/>
        </w:rPr>
        <w:t>In 1972, the National Institute for Occupational Safety and Health (NIOSH) published the Criteria for a Recommended Standard: Occupational Exposure to Noise (NIOSH Publication No.73-11001). Table B-1, page I-16, provides the Age Corrections Values to be Used for Age Correction of Initial Baseline Audiograms for Males, and Table B-2, page I-17, provides the Age Corrections Values to be Used for Age Correction of Initial Baseline Audiograms for Females. These NIOSH tables are used to calculate the correction value for age for males and females for 500, 1,000, 2,000 and 3,000 hertz.</w:t>
      </w:r>
    </w:p>
    <w:p>
      <w:pPr>
        <w:spacing w:before="0" w:after="0" w:line="480"/>
        <w:ind w:left="120"/>
        <w:jc w:val="both"/>
      </w:pPr>
      <w:r>
        <w:rPr>
          <w:rFonts w:ascii="Times New Roman" w:hAnsi="Times New Roman"/>
          <w:b w:val="false"/>
          <w:i w:val="false"/>
          <w:color w:val="000000"/>
          <w:sz w:val="24"/>
        </w:rPr>
        <w:t>For example, the age correction for a male 21 years of age is 10 decibels at 500 hertz, 5 decibels at 1,000 hertz, 3 decibels at 2,000 hertz and 4 decibels at 3,000 hertz. The correction for age is 5.50 decibels (the sum of 10+5+3+4 divided by 4).</w:t>
      </w:r>
    </w:p>
    <w:p>
      <w:pPr>
        <w:spacing w:before="0" w:after="0" w:line="480"/>
        <w:ind w:left="120"/>
        <w:jc w:val="both"/>
      </w:pPr>
      <w:r>
        <w:rPr>
          <w:rFonts w:ascii="Times New Roman" w:hAnsi="Times New Roman"/>
          <w:b w:val="false"/>
          <w:i w:val="false"/>
          <w:color w:val="000000"/>
          <w:sz w:val="24"/>
        </w:rPr>
        <w:t>The following table is to be used to determine an employee’s age-related change in hearing level during the period of employment. To determine the age-related change in hearing level in decibels during the period of employment, subtract the value shown in the table for the employee’s age at the beginning of employment from the value shown in the table for the employee’s age on the date of injury.</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This table should not be used to compute standard threshold shift as required by rules of the Occupational Safety and Health Administration or Iowa occupational safety and health administration.</w:t>
      </w:r>
    </w:p>
    <w:tbl>
      <w:tblPr>
        <w:tblW w:w="0" w:type="auto"/>
        <w:tblCellSpacing w:w="0" w:type="auto"/>
        <w:tblBorders>
          <w:top w:val="none"/>
          <w:left w:val="none"/>
          <w:bottom w:val="none"/>
          <w:right w:val="none"/>
          <w:insideH w:val="none"/>
          <w:insideV w:val="none"/>
        </w:tblBorders>
        <w:tblLayout w:type="fixed"/>
      </w:tblPr>
      <w:tblGrid>
        <w:gridCol w:w="3755"/>
        <w:gridCol w:w="3755"/>
        <w:gridCol w:w="3754"/>
      </w:tblGrid>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Age in Years</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Correction in dB</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Males</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Females</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 or younger</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5.50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7.25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5.50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7.75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5.50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7.75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5.50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5.75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6.00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6.25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8.50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6.50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6.75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6.75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6.75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9.00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7.25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9.25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7.50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9.50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7.50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9.75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7.75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9.75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8.00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8.75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8.75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10.50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9.00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11.00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9.00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11.00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9.25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11.25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10.00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11.50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43</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11.75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12.00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12.25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10.75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12.50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11.00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12.50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11.50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13.00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49</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12.00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13.25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12.25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13.50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12.25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13.75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12.75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13.75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13.25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14.25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54</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13.50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14.50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14.00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15.00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14.25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15.00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57</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14.50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15.25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15.25</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15.75</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59</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15.50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16.00</w:t>
            </w:r>
          </w:p>
        </w:tc>
      </w:tr>
      <w:tr>
        <w:trPr>
          <w:trHeight w:val="180" w:hRule="atLeast"/>
        </w:trPr>
        <w:tc>
          <w:tcPr>
            <w:tcW w:w="37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 or older</w:t>
            </w:r>
          </w:p>
        </w:tc>
        <w:tc>
          <w:tcPr>
            <w:tcW w:w="375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16.00</w:t>
            </w:r>
          </w:p>
        </w:tc>
        <w:tc>
          <w:tcPr>
            <w:tcW w:w="375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16.25</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8.10(4)</w:t>
      </w:r>
      <w:r>
        <w:rPr>
          <w:rFonts w:ascii="Times New Roman" w:hAnsi="Times New Roman"/>
          <w:b w:val="false"/>
          <w:i w:val="false"/>
          <w:color w:val="000000"/>
          <w:sz w:val="24"/>
        </w:rPr>
        <w:t> </w:t>
      </w:r>
      <w:r>
        <w:rPr>
          <w:rFonts w:ascii="Times New Roman" w:hAnsi="Times New Roman"/>
          <w:b w:val="false"/>
          <w:i/>
          <w:color w:val="000000"/>
          <w:sz w:val="24"/>
        </w:rPr>
        <w:t xml:space="preserve">Apportionment.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apportionment of age-related hearing loss shall be made by reducing the total binaural percentage hearing loss as calculated pursuant to Iowa Code section </w:t>
      </w:r>
      <w:hyperlink r:id="rId44">
        <w:r>
          <w:rPr>
            <w:rStyle w:val="Hyperlink"/>
            <w:rFonts w:ascii="Times New Roman" w:hAnsi="Times New Roman"/>
            <w:b w:val="false"/>
            <w:i w:val="false"/>
            <w:color w:val="000000"/>
            <w:sz w:val="24"/>
          </w:rPr>
          <w:t>85B.9(3)</w:t>
        </w:r>
      </w:hyperlink>
      <w:r>
        <w:rPr>
          <w:rFonts w:ascii="Times New Roman" w:hAnsi="Times New Roman"/>
          <w:b w:val="false"/>
          <w:i w:val="false"/>
          <w:color w:val="000000"/>
          <w:sz w:val="24"/>
        </w:rPr>
        <w:t xml:space="preserve"> by the same percentage as the decibels of age-related change in hearing level occurring during the period of employment bears to the total decibel hearing level in each 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Age-related hearing loss is apportioned using the results of the audiogram determined to be the proper audiogram for measurement of the employee’s hearing loss on the date of injury by using the following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Separately for each ear, compute the average of the employee’s decibel hearing levels at 500, 1,000, 2,000, and 3,000 hertz for that 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Separately for each ear, compute the percentage loss for each 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Compute the employee’s age-related change in hearing level in decibels during the period of employment using the table in subrule </w:t>
      </w:r>
      <w:hyperlink r:id="rId45">
        <w:r>
          <w:rPr>
            <w:rStyle w:val="Hyperlink"/>
            <w:rFonts w:ascii="Times New Roman" w:hAnsi="Times New Roman"/>
            <w:b w:val="false"/>
            <w:i w:val="false"/>
            <w:color w:val="000000"/>
            <w:sz w:val="24"/>
          </w:rPr>
          <w:t>8.10(3)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Separately for each ear, divide the result of step 3 by the result of step 1 to compute the age-correction factor for that 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Separately for each ear, multiply the total percentage hearing loss in that ear calculated pursuant to Iowa Code section </w:t>
      </w:r>
      <w:hyperlink r:id="rId46">
        <w:r>
          <w:rPr>
            <w:rStyle w:val="Hyperlink"/>
            <w:rFonts w:ascii="Times New Roman" w:hAnsi="Times New Roman"/>
            <w:b w:val="false"/>
            <w:i w:val="false"/>
            <w:color w:val="000000"/>
            <w:sz w:val="24"/>
          </w:rPr>
          <w:t>85B.9</w:t>
        </w:r>
      </w:hyperlink>
      <w:r>
        <w:rPr>
          <w:rFonts w:ascii="Times New Roman" w:hAnsi="Times New Roman"/>
          <w:b w:val="false"/>
          <w:i w:val="false"/>
          <w:color w:val="000000"/>
          <w:sz w:val="24"/>
        </w:rPr>
        <w:t xml:space="preserve"> by the age-correction factor for that 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Separately for each ear, subtract the result obtained in step 5 from the total percentage hearing loss in that ear to obtain the age-corrected hearing loss for that 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Multiply the age-corrected hearing loss in the better ear as calculated in step 6 by 5 and add the percentage hearing loss in the worse 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Divide the result obtained in step 7 by 6 to obtain the age-corrected binaural percentage hearing loss.</w:t>
      </w:r>
    </w:p>
    <w:p>
      <w:pPr>
        <w:spacing w:before="0" w:after="0" w:line="480"/>
        <w:ind w:left="120"/>
        <w:jc w:val="both"/>
      </w:pPr>
      <w:r>
        <w:rPr>
          <w:rFonts w:ascii="Times New Roman" w:hAnsi="Times New Roman"/>
          <w:b/>
          <w:i w:val="false"/>
          <w:color w:val="000000"/>
          <w:sz w:val="24"/>
        </w:rPr>
        <w:t>8.10(5)</w:t>
      </w:r>
      <w:r>
        <w:rPr>
          <w:rFonts w:ascii="Times New Roman" w:hAnsi="Times New Roman"/>
          <w:b w:val="false"/>
          <w:i w:val="false"/>
          <w:color w:val="000000"/>
          <w:sz w:val="24"/>
        </w:rPr>
        <w:t> </w:t>
      </w:r>
      <w:r>
        <w:rPr>
          <w:rFonts w:ascii="Times New Roman" w:hAnsi="Times New Roman"/>
          <w:b w:val="false"/>
          <w:i/>
          <w:color w:val="000000"/>
          <w:sz w:val="24"/>
        </w:rPr>
        <w:t xml:space="preserve">Worksheet. </w:t>
      </w:r>
      <w:r>
        <w:rPr>
          <w:rFonts w:ascii="Times New Roman" w:hAnsi="Times New Roman"/>
          <w:b w:val="false"/>
          <w:i w:val="false"/>
          <w:color w:val="000000"/>
          <w:sz w:val="24"/>
        </w:rPr>
        <w:t>The following worksheet is used to calculate the percentage of age-corrected binaural hearing loss.</w:t>
      </w:r>
    </w:p>
    <w:tbl>
      <w:tblPr>
        <w:tblW w:w="0" w:type="auto"/>
        <w:tblCellSpacing w:w="0" w:type="auto"/>
        <w:tblBorders>
          <w:top w:val="none"/>
          <w:left w:val="none"/>
          <w:bottom w:val="none"/>
          <w:right w:val="none"/>
          <w:insideH w:val="none"/>
          <w:insideV w:val="none"/>
        </w:tblBorders>
        <w:tblLayout w:type="fixed"/>
      </w:tblPr>
      <w:tblGrid>
        <w:gridCol w:w="1044"/>
        <w:gridCol w:w="2733"/>
        <w:gridCol w:w="1451"/>
        <w:gridCol w:w="1853"/>
        <w:gridCol w:w="1451"/>
        <w:gridCol w:w="2732"/>
      </w:tblGrid>
      <w:tr>
        <w:trPr>
          <w:trHeight w:val="180" w:hRule="atLeast"/>
        </w:trPr>
        <w:tc>
          <w:tcPr>
            <w:tcW w:w="0" w:type="auto"/>
            <w:gridSpan w:val="6"/>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APPORTIONMENT OF PERCENT HEARING LOSS FOR AGE</w:t>
            </w:r>
          </w:p>
        </w:tc>
      </w:tr>
      <w:tr>
        <w:trPr>
          <w:trHeight w:val="345"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Left Ear</w:t>
            </w:r>
          </w:p>
          <w:p>
            <w:pPr>
              <w:spacing w:before="0" w:after="0" w:line="264"/>
              <w:ind w:left="160"/>
              <w:jc w:val="center"/>
            </w:pPr>
            <w:r>
              <w:rPr>
                <w:rFonts w:ascii="Times New Roman" w:hAnsi="Times New Roman"/>
                <w:b w:val="false"/>
                <w:i w:val="false"/>
                <w:color w:val="000000"/>
                <w:sz w:val="14"/>
                <w:u w:val="single"/>
              </w:rPr>
              <w:t>Hearing Level</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Frequency </w:t>
            </w:r>
            <w:r>
              <w:rPr>
                <w:rFonts w:ascii="Times New Roman" w:hAnsi="Times New Roman"/>
                <w:b w:val="false"/>
                <w:i w:val="false"/>
                <w:color w:val="000000"/>
                <w:sz w:val="14"/>
                <w:u w:val="single"/>
              </w:rPr>
              <w:t>in Hertz</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Right Ear</w:t>
            </w:r>
          </w:p>
          <w:p>
            <w:pPr>
              <w:spacing w:before="0" w:after="0" w:line="264"/>
              <w:ind w:left="160"/>
              <w:jc w:val="center"/>
            </w:pPr>
            <w:r>
              <w:rPr>
                <w:rFonts w:ascii="Times New Roman" w:hAnsi="Times New Roman"/>
                <w:b w:val="false"/>
                <w:i w:val="false"/>
                <w:color w:val="000000"/>
                <w:sz w:val="14"/>
                <w:u w:val="single"/>
              </w:rPr>
              <w:t>Hearing Level</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_________________</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0" w:type="auto"/>
            <w:gridSpan w:val="2"/>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_________________</w:t>
            </w:r>
          </w:p>
        </w:tc>
      </w:tr>
      <w:tr>
        <w:trPr>
          <w:trHeight w:val="315"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_________________</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0" w:type="auto"/>
            <w:gridSpan w:val="2"/>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_________________</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_________________</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w:t>
            </w:r>
          </w:p>
        </w:tc>
        <w:tc>
          <w:tcPr>
            <w:tcW w:w="0" w:type="auto"/>
            <w:gridSpan w:val="2"/>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_________________</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_________________</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3000</w:t>
            </w:r>
          </w:p>
        </w:tc>
        <w:tc>
          <w:tcPr>
            <w:tcW w:w="0" w:type="auto"/>
            <w:gridSpan w:val="2"/>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_________________</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w:t>
            </w:r>
          </w:p>
        </w:tc>
        <w:tc>
          <w:tcPr>
            <w:tcW w:w="2733"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_______________</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total of lines 1 through 4</w:t>
            </w:r>
          </w:p>
        </w:tc>
        <w:tc>
          <w:tcPr>
            <w:tcW w:w="273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divide by 4</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(divide the “total” by 4)</w:t>
            </w:r>
          </w:p>
        </w:tc>
        <w:tc>
          <w:tcPr>
            <w:tcW w:w="273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divide by 4</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equals average equals</w:t>
            </w:r>
          </w:p>
        </w:tc>
        <w:tc>
          <w:tcPr>
            <w:tcW w:w="273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minus 25</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subtract “low fence”</w:t>
            </w:r>
          </w:p>
        </w:tc>
        <w:tc>
          <w:tcPr>
            <w:tcW w:w="273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minus 25</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equals “Excess”</w:t>
            </w:r>
          </w:p>
        </w:tc>
        <w:tc>
          <w:tcPr>
            <w:tcW w:w="273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multiply by 1.5</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multiply % factor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multiply by 1.5</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equals % loss each ear</w:t>
            </w:r>
          </w:p>
        </w:tc>
        <w:tc>
          <w:tcPr>
            <w:tcW w:w="273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loss left ear)</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loss right ear)</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9.</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Age on date of injury</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Age at beginning of employment</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11.</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w:t>
            </w: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correction for age on date of</w:t>
            </w:r>
          </w:p>
          <w:p>
            <w:pPr>
              <w:spacing w:before="0" w:after="0" w:line="264"/>
              <w:ind w:left="160"/>
              <w:jc w:val="left"/>
            </w:pPr>
            <w:r>
              <w:rPr>
                <w:rFonts w:ascii="Times New Roman" w:hAnsi="Times New Roman"/>
                <w:b w:val="false"/>
                <w:i w:val="false"/>
                <w:color w:val="000000"/>
                <w:sz w:val="14"/>
              </w:rPr>
              <w:t>injury in dB from table</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minus</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w:t>
            </w: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correction for age at beginning of </w:t>
            </w:r>
          </w:p>
          <w:p>
            <w:pPr>
              <w:spacing w:before="0" w:after="0" w:line="264"/>
              <w:ind w:left="160"/>
              <w:jc w:val="left"/>
            </w:pPr>
            <w:r>
              <w:rPr>
                <w:rFonts w:ascii="Times New Roman" w:hAnsi="Times New Roman"/>
                <w:b w:val="false"/>
                <w:i w:val="false"/>
                <w:color w:val="000000"/>
                <w:sz w:val="14"/>
              </w:rPr>
              <w:t>employment in dB from table</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equals</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13.</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w:t>
            </w: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age-related change in hearing</w:t>
            </w:r>
          </w:p>
          <w:p>
            <w:pPr>
              <w:spacing w:before="0" w:after="0" w:line="264"/>
              <w:ind w:left="160"/>
              <w:jc w:val="left"/>
            </w:pPr>
            <w:r>
              <w:rPr>
                <w:rFonts w:ascii="Times New Roman" w:hAnsi="Times New Roman"/>
                <w:b w:val="false"/>
                <w:i w:val="false"/>
                <w:color w:val="000000"/>
                <w:sz w:val="14"/>
              </w:rPr>
              <w:t>level during employment in dB</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LEFT EAR</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RIGHT EAR</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5"/>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Divide age-related change in hearing level from line 13 by average hearing level from line 6 </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 obtain</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14.</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 correction factor</w:t>
            </w:r>
          </w:p>
        </w:tc>
        <w:tc>
          <w:tcPr>
            <w:tcW w:w="273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w:t>
            </w:r>
          </w:p>
        </w:tc>
      </w:tr>
      <w:tr>
        <w:trPr>
          <w:trHeight w:val="345"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5"/>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multiply % loss from line 8 by</w:t>
            </w:r>
          </w:p>
          <w:p>
            <w:pPr>
              <w:spacing w:before="0" w:after="0" w:line="264"/>
              <w:ind w:left="160"/>
              <w:jc w:val="center"/>
            </w:pPr>
            <w:r>
              <w:rPr>
                <w:rFonts w:ascii="Times New Roman" w:hAnsi="Times New Roman"/>
                <w:b w:val="false"/>
                <w:i w:val="false"/>
                <w:color w:val="000000"/>
                <w:sz w:val="14"/>
              </w:rPr>
              <w:t>age-correction factor from line 14</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 obtain</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0" w:type="auto"/>
            <w:gridSpan w:val="3"/>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 xml:space="preserve">deduction for </w:t>
            </w:r>
          </w:p>
          <w:p>
            <w:pPr>
              <w:spacing w:before="0" w:after="0" w:line="264"/>
              <w:ind w:left="160"/>
              <w:jc w:val="center"/>
            </w:pPr>
            <w:r>
              <w:rPr>
                <w:rFonts w:ascii="Times New Roman" w:hAnsi="Times New Roman"/>
                <w:b w:val="false"/>
                <w:i w:val="false"/>
                <w:color w:val="000000"/>
                <w:sz w:val="14"/>
              </w:rPr>
              <w:t>age-correction</w:t>
            </w:r>
          </w:p>
        </w:tc>
        <w:tc>
          <w:tcPr>
            <w:tcW w:w="273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subtract line 15 from line 8</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 obtain</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age-corrected percent hearing loss</w:t>
            </w:r>
          </w:p>
        </w:tc>
        <w:tc>
          <w:tcPr>
            <w:tcW w:w="273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_______________</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5"/>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BINAURAL PERCENTAGE LOSS</w:t>
            </w:r>
          </w:p>
        </w:tc>
      </w:tr>
      <w:tr>
        <w:trPr>
          <w:trHeight w:val="345"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17.</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0" w:type="auto"/>
            <w:gridSpan w:val="4"/>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loss better ear (smaller amount)</w:t>
            </w:r>
          </w:p>
          <w:p>
            <w:pPr>
              <w:spacing w:before="0" w:after="0" w:line="264"/>
              <w:ind w:left="160"/>
              <w:jc w:val="left"/>
            </w:pPr>
            <w:r>
              <w:rPr>
                <w:rFonts w:ascii="Times New Roman" w:hAnsi="Times New Roman"/>
                <w:b w:val="false"/>
                <w:i w:val="false"/>
                <w:color w:val="000000"/>
                <w:sz w:val="14"/>
              </w:rPr>
              <w:t>from line 16, multiplied by 5</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plus</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18.</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0" w:type="auto"/>
            <w:gridSpan w:val="4"/>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loss worse ear (larger amount)</w:t>
            </w:r>
          </w:p>
          <w:p>
            <w:pPr>
              <w:spacing w:before="0" w:after="0" w:line="264"/>
              <w:ind w:left="160"/>
              <w:jc w:val="left"/>
            </w:pPr>
            <w:r>
              <w:rPr>
                <w:rFonts w:ascii="Times New Roman" w:hAnsi="Times New Roman"/>
                <w:b w:val="false"/>
                <w:i w:val="false"/>
                <w:color w:val="000000"/>
                <w:sz w:val="14"/>
              </w:rPr>
              <w:t>from line 16</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equals</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divided by 6</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equals</w:t>
            </w:r>
          </w:p>
        </w:tc>
        <w:tc>
          <w:tcPr>
            <w:tcW w:w="145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04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w:t>
            </w:r>
          </w:p>
        </w:tc>
        <w:tc>
          <w:tcPr>
            <w:tcW w:w="27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w:t>
            </w:r>
          </w:p>
        </w:tc>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age-corrected binaural hearing loss</w:t>
            </w:r>
          </w:p>
        </w:tc>
      </w:tr>
    </w:tbl>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7">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and </w:t>
      </w:r>
      <w:hyperlink r:id="rId48">
        <w:r>
          <w:rPr>
            <w:rStyle w:val="Hyperlink"/>
            <w:rFonts w:ascii="Times New Roman" w:hAnsi="Times New Roman"/>
            <w:b w:val="false"/>
            <w:i w:val="false"/>
            <w:color w:val="000000"/>
            <w:sz w:val="24"/>
          </w:rPr>
          <w:t>85B.9A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876—8.11</w:t>
      </w:r>
      <w:r>
        <w:rPr>
          <w:rFonts w:ascii="Times New Roman" w:hAnsi="Times New Roman"/>
          <w:b/>
          <w:i w:val="false"/>
          <w:color w:val="000000"/>
          <w:sz w:val="24"/>
        </w:rPr>
        <w:t xml:space="preserve">(85) </w:t>
      </w:r>
      <w:r>
        <w:rPr>
          <w:rFonts w:ascii="Times New Roman" w:hAnsi="Times New Roman"/>
          <w:b/>
          <w:i w:val="false"/>
          <w:color w:val="000000"/>
          <w:sz w:val="24"/>
        </w:rPr>
        <w:t xml:space="preserve">Offer of suitable work. </w:t>
      </w:r>
      <w:r>
        <w:rPr>
          <w:rFonts w:ascii="Times New Roman" w:hAnsi="Times New Roman"/>
          <w:b w:val="false"/>
          <w:i w:val="false"/>
          <w:color w:val="000000"/>
          <w:sz w:val="24"/>
        </w:rPr>
        <w:t>The employer shall communicate an offer of temporary work to the employee in writing, including the details of lodging, meals, and transportation. With each offer of temporary work, the employer shall notify the employee in writing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If the employee refuses the offer of temporary work, the employee shall communicate the refusal and the reason for the refusal to the employer in writing;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During the period of refusal, the employee will not be compensated with temporary partial, temporary total, or healing period benefits unless the work refused is not suitable; and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Failure to communicate the reason for the refusal to the employer in writing precludes the employee from raising suitability of the work as the reason for the refusal until such time as the reason for the refusal is communicated in writing to the employer.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9">
        <w:r>
          <w:rPr>
            <w:rStyle w:val="Hyperlink"/>
            <w:rFonts w:ascii="Times New Roman" w:hAnsi="Times New Roman"/>
            <w:b w:val="false"/>
            <w:i w:val="false"/>
            <w:color w:val="000000"/>
            <w:sz w:val="24"/>
          </w:rPr>
          <w:t>85.33</w:t>
        </w:r>
      </w:hyperlink>
      <w:r>
        <w:rPr>
          <w:rFonts w:ascii="Times New Roman" w:hAnsi="Times New Roman"/>
          <w:b w:val="false"/>
          <w:i w:val="false"/>
          <w:color w:val="000000"/>
          <w:sz w:val="24"/>
        </w:rPr>
        <w:t>.</w:t>
      </w:r>
    </w:p>
    <w:sectPr>
      <w:footerReference r:id="rId5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dial-iowa-gov.zoom.us/j/81654334225?pwd=5JUj7K10vOhVPFGUp2QWlyI2imRXx9.1" Type="http://schemas.openxmlformats.org/officeDocument/2006/relationships/hyperlink" Id="rId4"/>
    <Relationship TargetMode="External" Target="mailto:william.grell@dia.iowa.gov" Type="http://schemas.openxmlformats.org/officeDocument/2006/relationships/hyperlink" Id="rId5"/>
    <Relationship TargetMode="External" Target="https://www.legis.iowa.gov/docs/ico/chapter/85.27.pdf" Type="http://schemas.openxmlformats.org/officeDocument/2006/relationships/hyperlink" Id="rId6"/>
    <Relationship TargetMode="External" Target="https://www.legis.iowa.gov/docs/ico/chapter/85.39.pdf" Type="http://schemas.openxmlformats.org/officeDocument/2006/relationships/hyperlink" Id="rId7"/>
    <Relationship TargetMode="External" Target="https://www.legis.iowa.gov/docs/ico/chapter/85.39.pdf" Type="http://schemas.openxmlformats.org/officeDocument/2006/relationships/hyperlink" Id="rId8"/>
    <Relationship TargetMode="External" Target="https://www.legis.iowa.gov/docs/ico/chapter/85.39.pdf" Type="http://schemas.openxmlformats.org/officeDocument/2006/relationships/hyperlink" Id="rId9"/>
    <Relationship TargetMode="External" Target="https://www.legis.iowa.gov/docs/ico/chapter/85.27.pdf" Type="http://schemas.openxmlformats.org/officeDocument/2006/relationships/hyperlink" Id="rId10"/>
    <Relationship TargetMode="External" Target="https://www.legis.iowa.gov/docs/ico/chapter/85.39.pdf" Type="http://schemas.openxmlformats.org/officeDocument/2006/relationships/hyperlink" Id="rId11"/>
    <Relationship TargetMode="External" Target="https://www.legis.iowa.gov/docs/ico/chapter/85.61.pdf" Type="http://schemas.openxmlformats.org/officeDocument/2006/relationships/hyperlink" Id="rId12"/>
    <Relationship TargetMode="External" Target="https://www.legis.iowa.gov/docs/ico/chapter/85.36.pdf" Type="http://schemas.openxmlformats.org/officeDocument/2006/relationships/hyperlink" Id="rId13"/>
    <Relationship TargetMode="External" Target="https://www.legis.iowa.gov/docs/ico/chapter/85.36.pdf" Type="http://schemas.openxmlformats.org/officeDocument/2006/relationships/hyperlink" Id="rId14"/>
    <Relationship TargetMode="External" Target="https://www.legis.iowa.gov/docs/ico/chapter/85.61.pdf" Type="http://schemas.openxmlformats.org/officeDocument/2006/relationships/hyperlink" Id="rId15"/>
    <Relationship TargetMode="External" Target="https://www.legis.iowa.gov/docs/ico/chapter/85.31.pdf" Type="http://schemas.openxmlformats.org/officeDocument/2006/relationships/hyperlink" Id="rId16"/>
    <Relationship TargetMode="External" Target="https://www.legis.iowa.gov/docs/ico/chapter/85.34.pdf" Type="http://schemas.openxmlformats.org/officeDocument/2006/relationships/hyperlink" Id="rId17"/>
    <Relationship TargetMode="External" Target="https://www.legis.iowa.gov/docs/ico/chapter/85.36.pdf" Type="http://schemas.openxmlformats.org/officeDocument/2006/relationships/hyperlink" Id="rId18"/>
    <Relationship TargetMode="External" Target="https://www.legis.iowa.gov/docs/ico/chapter/85.37.pdf" Type="http://schemas.openxmlformats.org/officeDocument/2006/relationships/hyperlink" Id="rId19"/>
    <Relationship TargetMode="External" Target="https://www.legis.iowa.gov/docs/ico/chapter/85.61.pdf" Type="http://schemas.openxmlformats.org/officeDocument/2006/relationships/hyperlink" Id="rId20"/>
    <Relationship TargetMode="External" Target="https://www.legis.iowa.gov/docs/ico/chapter/85.27.pdf" Type="http://schemas.openxmlformats.org/officeDocument/2006/relationships/hyperlink" Id="rId21"/>
    <Relationship TargetMode="External" Target="https://www.legis.iowa.gov/docs/ico/chapter/85.27.pdf" Type="http://schemas.openxmlformats.org/officeDocument/2006/relationships/hyperlink" Id="rId22"/>
    <Relationship TargetMode="External" Target="https://www.legis.iowa.gov/docs/ico/chapter/85.pdf" Type="http://schemas.openxmlformats.org/officeDocument/2006/relationships/hyperlink" Id="rId23"/>
    <Relationship TargetMode="External" Target="https://www.legis.iowa.gov/docs/ico/chapter/85A.pdf" Type="http://schemas.openxmlformats.org/officeDocument/2006/relationships/hyperlink" Id="rId24"/>
    <Relationship TargetMode="External" Target="https://www.legis.iowa.gov/docs/ico/chapter/85.31.pdf" Type="http://schemas.openxmlformats.org/officeDocument/2006/relationships/hyperlink" Id="rId25"/>
    <Relationship TargetMode="External" Target="https://www.legis.iowa.gov/docs/ico/chapter/85.33.pdf" Type="http://schemas.openxmlformats.org/officeDocument/2006/relationships/hyperlink" Id="rId26"/>
    <Relationship TargetMode="External" Target="https://www.legis.iowa.gov/docs/ico/chapter/85.34.pdf" Type="http://schemas.openxmlformats.org/officeDocument/2006/relationships/hyperlink" Id="rId27"/>
    <Relationship TargetMode="External" Target="https://www.legis.iowa.gov/docs/ico/chapter/10A.319.pdf" Type="http://schemas.openxmlformats.org/officeDocument/2006/relationships/hyperlink" Id="rId28"/>
    <Relationship TargetMode="External" Target="https://www.legis.iowa.gov/docs/ico/chapter/85.61.pdf" Type="http://schemas.openxmlformats.org/officeDocument/2006/relationships/hyperlink" Id="rId29"/>
    <Relationship TargetMode="External" Target="http://dial.iowa.gov/hearings/workers-comp/rates" Type="http://schemas.openxmlformats.org/officeDocument/2006/relationships/hyperlink" Id="rId30"/>
    <Relationship TargetMode="External" Target="https://www.legis.iowa.gov/docs/ico/chapter/85.pdf" Type="http://schemas.openxmlformats.org/officeDocument/2006/relationships/hyperlink" Id="rId31"/>
    <Relationship TargetMode="External" Target="https://www.legis.iowa.gov/docs/iac/rule/876.3.1.pdf" Type="http://schemas.openxmlformats.org/officeDocument/2006/relationships/hyperlink" Id="rId32"/>
    <Relationship TargetMode="External" Target="https://www.legis.iowa.gov/docs/iac/rule/876.2506.36.pdf" Type="http://schemas.openxmlformats.org/officeDocument/2006/relationships/hyperlink" Id="rId33"/>
    <Relationship TargetMode="External" Target="https://www.legis.iowa.gov/docs/ico/chapter/10A.310.pdf" Type="http://schemas.openxmlformats.org/officeDocument/2006/relationships/hyperlink" Id="rId34"/>
    <Relationship TargetMode="External" Target="https://www.legis.iowa.gov/docs/ico/chapter/10A.312.pdf" Type="http://schemas.openxmlformats.org/officeDocument/2006/relationships/hyperlink" Id="rId35"/>
    <Relationship TargetMode="External" Target="https://www.legis.iowa.gov/docs/ico/chapter/10A.319.pdf" Type="http://schemas.openxmlformats.org/officeDocument/2006/relationships/hyperlink" Id="rId36"/>
    <Relationship TargetMode="External" Target="https://www.legis.iowa.gov/docs/ico/chapter/10A.327.pdf" Type="http://schemas.openxmlformats.org/officeDocument/2006/relationships/hyperlink" Id="rId37"/>
    <Relationship TargetMode="External" Target="https://www.legis.iowa.gov/docs/ico/chapter/85.27.pdf" Type="http://schemas.openxmlformats.org/officeDocument/2006/relationships/hyperlink" Id="rId38"/>
    <Relationship TargetMode="External" Target="https://www.legis.iowa.gov/docs/ico/chapter/85.31.pdf" Type="http://schemas.openxmlformats.org/officeDocument/2006/relationships/hyperlink" Id="rId39"/>
    <Relationship TargetMode="External" Target="https://www.legis.iowa.gov/docs/ico/chapter/85.33.pdf" Type="http://schemas.openxmlformats.org/officeDocument/2006/relationships/hyperlink" Id="rId40"/>
    <Relationship TargetMode="External" Target="https://www.legis.iowa.gov/docs/ico/chapter/85.37.pdf" Type="http://schemas.openxmlformats.org/officeDocument/2006/relationships/hyperlink" Id="rId41"/>
    <Relationship TargetMode="External" Target="https://www.legis.iowa.gov/docs/ico/chapter/85.39.pdf" Type="http://schemas.openxmlformats.org/officeDocument/2006/relationships/hyperlink" Id="rId42"/>
    <Relationship TargetMode="External" Target="https://www.legis.iowa.gov/docs/ico/chapter/85.61.pdf" Type="http://schemas.openxmlformats.org/officeDocument/2006/relationships/hyperlink" Id="rId43"/>
    <Relationship TargetMode="External" Target="https://www.legis.iowa.gov/docs/ico/chapter/85B.9.pdf" Type="http://schemas.openxmlformats.org/officeDocument/2006/relationships/hyperlink" Id="rId44"/>
    <Relationship TargetMode="External" Target="https://www.legis.iowa.gov/docs/iac/rule/876.8.10.pdf" Type="http://schemas.openxmlformats.org/officeDocument/2006/relationships/hyperlink" Id="rId45"/>
    <Relationship TargetMode="External" Target="https://www.legis.iowa.gov/docs/ico/chapter/85B.9.pdf" Type="http://schemas.openxmlformats.org/officeDocument/2006/relationships/hyperlink" Id="rId46"/>
    <Relationship TargetMode="External" Target="https://www.legis.iowa.gov/docs/ico/chapter/10A.310.pdf" Type="http://schemas.openxmlformats.org/officeDocument/2006/relationships/hyperlink" Id="rId47"/>
    <Relationship TargetMode="External" Target="https://www.legis.iowa.gov/docs/ico/chapter/85B.9A.pdf" Type="http://schemas.openxmlformats.org/officeDocument/2006/relationships/hyperlink" Id="rId48"/>
    <Relationship TargetMode="External" Target="https://www.legis.iowa.gov/docs/ico/chapter/85.33.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